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w:t>
      </w:r>
      <w:r w:rsidDel="00000000" w:rsidR="00000000" w:rsidRPr="00000000">
        <w:rPr>
          <w:b w:val="1"/>
          <w:bCs w:val="1"/>
          <w:sz w:val="22"/>
          <w:szCs w:val="22"/>
          <w:rtl w:val="0"/>
        </w:rPr>
        <w:t xml:space="preserve">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spacing w:before="240" w:line="259" w:lineRule="auto"/>
        <w:rPr>
          <w:color w:val="000000"/>
        </w:rPr>
      </w:pPr>
      <w:r w:rsidDel="00000000" w:rsidR="00000000" w:rsidRPr="00000000">
        <w:rPr>
          <w:color w:val="000000"/>
          <w:sz w:val="22"/>
          <w:szCs w:val="22"/>
          <w:rtl w:val="0"/>
        </w:rPr>
        <w:t xml:space="preserve">RONPA0281ZPB</w:t>
      </w:r>
      <w:r w:rsidDel="00000000" w:rsidR="00000000" w:rsidRPr="00000000">
        <w:rPr>
          <w:rtl w:val="0"/>
        </w:rPr>
      </w:r>
    </w:p>
    <w:p w:rsidR="00000000" w:rsidDel="00000000" w:rsidP="00000000" w:rsidRDefault="00000000" w:rsidRPr="00000000" w14:paraId="00000006">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7">
      <w:pPr>
        <w:spacing w:before="240" w:lineRule="auto"/>
        <w:rPr/>
      </w:pPr>
      <w:r w:rsidDel="00000000" w:rsidR="00000000" w:rsidRPr="00000000">
        <w:rPr>
          <w:b w:val="1"/>
          <w:bCs w:val="1"/>
          <w:sz w:val="22"/>
          <w:szCs w:val="22"/>
          <w:rtl w:val="0"/>
        </w:rPr>
        <w:t xml:space="preserve">1.2. Denumire ZPB</w:t>
      </w:r>
      <w:r w:rsidDel="00000000" w:rsidR="00000000" w:rsidRPr="00000000">
        <w:rPr>
          <w:rtl w:val="0"/>
        </w:rPr>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Blocurile de calcar de la Bădila</w:t>
      </w: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A">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0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D">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0">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1">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rtl w:val="0"/>
                    </w:rPr>
                    <w:t xml:space="preserve">6</w:t>
                  </w:r>
                </w:p>
              </w:tc>
              <w:tc>
                <w:tcPr/>
                <w:p w:rsidR="00000000" w:rsidDel="00000000" w:rsidP="00000000" w:rsidRDefault="00000000" w:rsidRPr="00000000" w14:paraId="00000014">
                  <w:pPr>
                    <w:jc w:val="center"/>
                    <w:rPr/>
                  </w:pPr>
                  <w:r w:rsidDel="00000000" w:rsidR="00000000" w:rsidRPr="00000000">
                    <w:rPr>
                      <w:rtl w:val="0"/>
                    </w:rPr>
                    <w:t xml:space="preserve">0</w:t>
                  </w:r>
                </w:p>
              </w:tc>
              <w:tc>
                <w:tcPr/>
                <w:p w:rsidR="00000000" w:rsidDel="00000000" w:rsidP="00000000" w:rsidRDefault="00000000" w:rsidRPr="00000000" w14:paraId="00000015">
                  <w:pPr>
                    <w:jc w:val="center"/>
                    <w:rPr/>
                  </w:pPr>
                  <w:r w:rsidDel="00000000" w:rsidR="00000000" w:rsidRPr="00000000">
                    <w:rPr>
                      <w:rtl w:val="0"/>
                    </w:rPr>
                    <w:t xml:space="preserve">4</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D">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tbl>
      <w:tblPr>
        <w:tblStyle w:val="Table4"/>
        <w:tblW w:w="8980.0" w:type="dxa"/>
        <w:jc w:val="left"/>
        <w:tblInd w:w="10.0" w:type="dxa"/>
        <w:tblLayout w:type="fixed"/>
        <w:tblLook w:val="00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0">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E">
            <w:pPr>
              <w:rPr/>
            </w:pP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1">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2">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2,96</w:t>
      </w:r>
      <w:r w:rsidDel="00000000" w:rsidR="00000000" w:rsidRPr="00000000">
        <w:rPr>
          <w:rtl w:val="0"/>
        </w:rPr>
      </w:r>
    </w:p>
    <w:p w:rsidR="00000000" w:rsidDel="00000000" w:rsidP="00000000" w:rsidRDefault="00000000" w:rsidRPr="00000000" w14:paraId="00000046">
      <w:pPr>
        <w:spacing w:before="240" w:lineRule="auto"/>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7">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99,97%</w:t>
      </w:r>
      <w:r w:rsidDel="00000000" w:rsidR="00000000" w:rsidRPr="00000000">
        <w:rPr>
          <w:rtl w:val="0"/>
        </w:rPr>
      </w:r>
    </w:p>
    <w:p w:rsidR="00000000" w:rsidDel="00000000" w:rsidP="00000000" w:rsidRDefault="00000000" w:rsidRPr="00000000" w14:paraId="00000048">
      <w:pPr>
        <w:spacing w:before="240" w:lineRule="auto"/>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0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9">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A">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B">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4D">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E">
            <w:pPr>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4F">
      <w:pPr>
        <w:spacing w:before="240" w:lineRule="auto"/>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0">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Buzău</w:t>
      </w:r>
      <w:r w:rsidDel="00000000" w:rsidR="00000000" w:rsidRPr="00000000">
        <w:rPr>
          <w:rtl w:val="0"/>
        </w:rPr>
      </w:r>
    </w:p>
    <w:p w:rsidR="00000000" w:rsidDel="00000000" w:rsidP="00000000" w:rsidRDefault="00000000" w:rsidRPr="00000000" w14:paraId="00000051">
      <w:pPr>
        <w:spacing w:before="240" w:lineRule="auto"/>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Ind w:w="10.0" w:type="dxa"/>
        <w:tblLayout w:type="fixed"/>
        <w:tblLook w:val="00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52">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5">
            <w:pPr>
              <w:rPr/>
            </w:pPr>
            <w:r w:rsidDel="00000000" w:rsidR="00000000" w:rsidRPr="00000000">
              <w:rPr>
                <w:rtl w:val="0"/>
              </w:rPr>
            </w:r>
          </w:p>
        </w:tc>
        <w:tc>
          <w:tcPr/>
          <w:p w:rsidR="00000000" w:rsidDel="00000000" w:rsidP="00000000" w:rsidRDefault="00000000" w:rsidRPr="00000000" w14:paraId="00000056">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7">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0">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1</w:t>
      </w:r>
      <w:r w:rsidDel="00000000" w:rsidR="00000000" w:rsidRPr="00000000">
        <w:rPr>
          <w:rtl w:val="0"/>
        </w:rPr>
      </w:r>
    </w:p>
    <w:p w:rsidR="00000000" w:rsidDel="00000000" w:rsidP="00000000" w:rsidRDefault="00000000" w:rsidRPr="00000000" w14:paraId="00000061">
      <w:pPr>
        <w:spacing w:before="240" w:lineRule="auto"/>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2">
      <w:pPr>
        <w:spacing w:before="240" w:lineRule="auto"/>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3">
      <w:pPr>
        <w:spacing w:before="240" w:lineRule="auto"/>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6">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2,96</w:t>
      </w:r>
      <w:r w:rsidDel="00000000" w:rsidR="00000000" w:rsidRPr="00000000">
        <w:rPr>
          <w:rtl w:val="0"/>
        </w:rPr>
      </w:r>
    </w:p>
    <w:p w:rsidR="00000000" w:rsidDel="00000000" w:rsidP="00000000" w:rsidRDefault="00000000" w:rsidRPr="00000000" w14:paraId="00000068">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Legea nr. 5/2000 (*actualizată) privind aprobarea Planului de amenajare a teritoriului național - Secțiunea a III-a - zone protejate, cu modificările și completările ulterioare: monument al naturii RONPA0281 Blocurile de calcar de la Badila;</w:t>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80.0" w:type="dxa"/>
        <w:jc w:val="left"/>
        <w:tblInd w:w="-6.0" w:type="dxa"/>
        <w:tblLayout w:type="fixed"/>
        <w:tblLook w:val="0000"/>
      </w:tblPr>
      <w:tblGrid>
        <w:gridCol w:w="4422"/>
        <w:gridCol w:w="4558"/>
        <w:tblGridChange w:id="0">
          <w:tblGrid>
            <w:gridCol w:w="4422"/>
            <w:gridCol w:w="455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spacing w:after="0" w:lineRule="auto"/>
              <w:rPr>
                <w:b w:val="1"/>
                <w:bCs w:val="1"/>
                <w:sz w:val="22"/>
                <w:szCs w:val="22"/>
              </w:rPr>
            </w:pPr>
            <w:r w:rsidDel="00000000" w:rsidR="00000000" w:rsidRPr="00000000">
              <w:rPr>
                <w:b w:val="1"/>
                <w:bCs w:val="1"/>
                <w:sz w:val="22"/>
                <w:szCs w:val="22"/>
                <w:rtl w:val="0"/>
              </w:rPr>
              <w:t xml:space="preserve">Habitate de ape curgătoare:</w:t>
            </w:r>
          </w:p>
          <w:p w:rsidR="00000000" w:rsidDel="00000000" w:rsidP="00000000" w:rsidRDefault="00000000" w:rsidRPr="00000000" w14:paraId="00000072">
            <w:pPr>
              <w:spacing w:after="0" w:lineRule="auto"/>
              <w:rPr>
                <w:i w:val="1"/>
                <w:iCs w:val="1"/>
              </w:rPr>
            </w:pPr>
            <w:r w:rsidDel="00000000" w:rsidR="00000000" w:rsidRPr="00000000">
              <w:rPr>
                <w:sz w:val="22"/>
                <w:szCs w:val="22"/>
                <w:rtl w:val="0"/>
              </w:rPr>
              <w:t xml:space="preserve">3240 Vegetaţie lemnoasă cu </w:t>
            </w:r>
            <w:r w:rsidDel="00000000" w:rsidR="00000000" w:rsidRPr="00000000">
              <w:rPr>
                <w:i w:val="1"/>
                <w:iCs w:val="1"/>
                <w:sz w:val="22"/>
                <w:szCs w:val="22"/>
                <w:rtl w:val="0"/>
              </w:rPr>
              <w:t xml:space="preserve">Salix elaeagnos</w:t>
            </w:r>
            <w:r w:rsidDel="00000000" w:rsidR="00000000" w:rsidRPr="00000000">
              <w:rPr>
                <w:sz w:val="22"/>
                <w:szCs w:val="22"/>
                <w:rtl w:val="0"/>
              </w:rPr>
              <w:t xml:space="preserve"> de-a lungul cursurilor de apă montane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Rule="auto"/>
              <w:rPr>
                <w:b w:val="1"/>
                <w:bCs w:val="1"/>
                <w:sz w:val="22"/>
                <w:szCs w:val="22"/>
              </w:rPr>
            </w:pPr>
            <w:r w:rsidDel="00000000" w:rsidR="00000000" w:rsidRPr="00000000">
              <w:rPr>
                <w:b w:val="1"/>
                <w:bCs w:val="1"/>
                <w:sz w:val="22"/>
                <w:szCs w:val="22"/>
                <w:rtl w:val="0"/>
              </w:rPr>
              <w:t xml:space="preserve">Amfibieni și reptile:</w:t>
            </w:r>
          </w:p>
          <w:p w:rsidR="00000000" w:rsidDel="00000000" w:rsidP="00000000" w:rsidRDefault="00000000" w:rsidRPr="00000000" w14:paraId="00000075">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76">
            <w:pPr>
              <w:spacing w:after="0" w:lineRule="auto"/>
              <w:rPr>
                <w:i w:val="1"/>
                <w:iCs w:val="1"/>
                <w:sz w:val="22"/>
                <w:szCs w:val="22"/>
              </w:rPr>
            </w:pPr>
            <w:r w:rsidDel="00000000" w:rsidR="00000000" w:rsidRPr="00000000">
              <w:rPr>
                <w:i w:val="1"/>
                <w:iCs w:val="1"/>
                <w:sz w:val="22"/>
                <w:szCs w:val="22"/>
                <w:rtl w:val="0"/>
              </w:rPr>
              <w:t xml:space="preserve">1203 Hyla arborea</w:t>
            </w:r>
          </w:p>
          <w:p w:rsidR="00000000" w:rsidDel="00000000" w:rsidP="00000000" w:rsidRDefault="00000000" w:rsidRPr="00000000" w14:paraId="00000077">
            <w:pPr>
              <w:spacing w:after="0" w:lineRule="auto"/>
              <w:rPr>
                <w:i w:val="1"/>
                <w:iCs w:val="1"/>
                <w:sz w:val="22"/>
                <w:szCs w:val="22"/>
              </w:rPr>
            </w:pPr>
            <w:r w:rsidDel="00000000" w:rsidR="00000000" w:rsidRPr="00000000">
              <w:rPr>
                <w:i w:val="1"/>
                <w:iCs w:val="1"/>
                <w:sz w:val="22"/>
                <w:szCs w:val="22"/>
                <w:rtl w:val="0"/>
              </w:rPr>
              <w:t xml:space="preserve">1263 Lacerta viridis</w:t>
            </w:r>
          </w:p>
          <w:p w:rsidR="00000000" w:rsidDel="00000000" w:rsidP="00000000" w:rsidRDefault="00000000" w:rsidRPr="00000000" w14:paraId="00000078">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79">
            <w:pPr>
              <w:spacing w:after="0" w:lineRule="auto"/>
              <w:rPr>
                <w:i w:val="1"/>
                <w:iCs w:val="1"/>
                <w:sz w:val="22"/>
                <w:szCs w:val="22"/>
              </w:rPr>
            </w:pPr>
            <w:r w:rsidDel="00000000" w:rsidR="00000000" w:rsidRPr="00000000">
              <w:rPr>
                <w:i w:val="1"/>
                <w:iCs w:val="1"/>
                <w:sz w:val="22"/>
                <w:szCs w:val="22"/>
                <w:rtl w:val="0"/>
              </w:rPr>
              <w:t xml:space="preserve">1327 Eptesicus serotinus</w:t>
            </w:r>
          </w:p>
          <w:p w:rsidR="00000000" w:rsidDel="00000000" w:rsidP="00000000" w:rsidRDefault="00000000" w:rsidRPr="00000000" w14:paraId="0000007A">
            <w:pPr>
              <w:spacing w:after="0" w:lineRule="auto"/>
              <w:rPr>
                <w:i w:val="1"/>
                <w:iCs w:val="1"/>
                <w:sz w:val="22"/>
                <w:szCs w:val="22"/>
              </w:rPr>
            </w:pPr>
            <w:r w:rsidDel="00000000" w:rsidR="00000000" w:rsidRPr="00000000">
              <w:rPr>
                <w:i w:val="1"/>
                <w:iCs w:val="1"/>
                <w:sz w:val="22"/>
                <w:szCs w:val="22"/>
                <w:rtl w:val="0"/>
              </w:rPr>
              <w:t xml:space="preserve">1314 Myotis daubentonii</w:t>
            </w:r>
          </w:p>
          <w:p w:rsidR="00000000" w:rsidDel="00000000" w:rsidP="00000000" w:rsidRDefault="00000000" w:rsidRPr="00000000" w14:paraId="0000007B">
            <w:pPr>
              <w:spacing w:after="0" w:lineRule="auto"/>
              <w:rPr>
                <w:i w:val="1"/>
                <w:iCs w:val="1"/>
                <w:sz w:val="22"/>
                <w:szCs w:val="22"/>
              </w:rPr>
            </w:pPr>
            <w:r w:rsidDel="00000000" w:rsidR="00000000" w:rsidRPr="00000000">
              <w:rPr>
                <w:i w:val="1"/>
                <w:iCs w:val="1"/>
                <w:sz w:val="22"/>
                <w:szCs w:val="22"/>
                <w:rtl w:val="0"/>
              </w:rPr>
              <w:t xml:space="preserve">1312 Nyctalus noctula</w:t>
            </w:r>
          </w:p>
          <w:p w:rsidR="00000000" w:rsidDel="00000000" w:rsidP="00000000" w:rsidRDefault="00000000" w:rsidRPr="00000000" w14:paraId="0000007C">
            <w:pPr>
              <w:spacing w:after="0" w:lineRule="auto"/>
              <w:rPr>
                <w:i w:val="1"/>
                <w:iCs w:val="1"/>
                <w:sz w:val="22"/>
                <w:szCs w:val="22"/>
              </w:rPr>
            </w:pPr>
            <w:r w:rsidDel="00000000" w:rsidR="00000000" w:rsidRPr="00000000">
              <w:rPr>
                <w:i w:val="1"/>
                <w:iCs w:val="1"/>
                <w:sz w:val="22"/>
                <w:szCs w:val="22"/>
                <w:rtl w:val="0"/>
              </w:rPr>
              <w:t xml:space="preserve">2016 Pipistrellus kuhlii</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1317 Pipistrellus nathusii</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1309 Pipistrellus pipistrellus</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5009 Pipistrellus pygmaeus</w:t>
            </w:r>
          </w:p>
          <w:p w:rsidR="00000000" w:rsidDel="00000000" w:rsidP="00000000" w:rsidRDefault="00000000" w:rsidRPr="00000000" w14:paraId="00000080">
            <w:pPr>
              <w:spacing w:after="0" w:lineRule="auto"/>
              <w:rPr>
                <w:i w:val="1"/>
                <w:iCs w:val="1"/>
              </w:rPr>
            </w:pPr>
            <w:r w:rsidDel="00000000" w:rsidR="00000000" w:rsidRPr="00000000">
              <w:rPr>
                <w:i w:val="1"/>
                <w:iCs w:val="1"/>
                <w:sz w:val="22"/>
                <w:szCs w:val="22"/>
                <w:rtl w:val="0"/>
              </w:rPr>
              <w:t xml:space="preserve">1332 Vespertilio murinus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Rule="auto"/>
              <w:jc w:val="both"/>
              <w:rPr>
                <w:sz w:val="22"/>
                <w:szCs w:val="22"/>
              </w:rPr>
            </w:pPr>
            <w:r w:rsidDel="00000000" w:rsidR="00000000" w:rsidRPr="00000000">
              <w:rPr>
                <w:sz w:val="22"/>
                <w:szCs w:val="22"/>
                <w:rtl w:val="0"/>
              </w:rPr>
              <w:t xml:space="preserve">Zonă prioritară pentru biodiversitate cu monument al naturii, care cuprinde habitat de ape curgătoare, precum și specii de amfibieni, reptile și chiroptere de interes comunitar.</w:t>
            </w:r>
          </w:p>
          <w:p w:rsidR="00000000" w:rsidDel="00000000" w:rsidP="00000000" w:rsidRDefault="00000000" w:rsidRPr="00000000" w14:paraId="00000083">
            <w:pPr>
              <w:spacing w:after="0" w:lineRule="auto"/>
              <w:jc w:val="both"/>
              <w:rPr>
                <w:sz w:val="22"/>
                <w:szCs w:val="22"/>
              </w:rPr>
            </w:pPr>
            <w:r w:rsidDel="00000000" w:rsidR="00000000" w:rsidRPr="00000000">
              <w:rPr>
                <w:sz w:val="22"/>
                <w:szCs w:val="22"/>
                <w:rtl w:val="0"/>
              </w:rPr>
              <w:t xml:space="preserve">Desemnarea ca ZPB se fundamentează pe criteriul stabilit de metodologie pentru monumente ale naturii, precum și pe valoarea ecologică datorată de prezența habitatelor și speciilor de interes conservativ.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Rule="auto"/>
              <w:rPr/>
            </w:pPr>
            <w:r w:rsidDel="00000000" w:rsidR="00000000" w:rsidRPr="00000000">
              <w:rPr>
                <w:sz w:val="22"/>
                <w:szCs w:val="22"/>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spacing w:after="0"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acvatice și umede</w:t>
            </w:r>
          </w:p>
          <w:p w:rsidR="00000000" w:rsidDel="00000000" w:rsidP="00000000" w:rsidRDefault="00000000" w:rsidRPr="00000000" w14:paraId="00000088">
            <w:pPr>
              <w:spacing w:after="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9">
            <w:pPr>
              <w:spacing w:after="0" w:lineRule="auto"/>
              <w:jc w:val="both"/>
              <w:rPr>
                <w:sz w:val="22"/>
                <w:szCs w:val="22"/>
              </w:rPr>
            </w:pPr>
            <w:r w:rsidDel="00000000" w:rsidR="00000000" w:rsidRPr="00000000">
              <w:rPr>
                <w:sz w:val="22"/>
                <w:szCs w:val="22"/>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08A">
            <w:pPr>
              <w:spacing w:after="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8B">
            <w:pPr>
              <w:spacing w:after="0" w:lineRule="auto"/>
              <w:jc w:val="both"/>
              <w:rPr>
                <w:sz w:val="22"/>
                <w:szCs w:val="22"/>
              </w:rPr>
            </w:pPr>
            <w:r w:rsidDel="00000000" w:rsidR="00000000" w:rsidRPr="00000000">
              <w:rPr>
                <w:sz w:val="22"/>
                <w:szCs w:val="22"/>
                <w:rtl w:val="0"/>
              </w:rPr>
              <w:t xml:space="preserve">1. Refacerea conectivității longitudinale (eliminarea/atenuarea barierelor) și laterale (refacerea legăturii cu lunca).</w:t>
            </w:r>
          </w:p>
          <w:p w:rsidR="00000000" w:rsidDel="00000000" w:rsidP="00000000" w:rsidRDefault="00000000" w:rsidRPr="00000000" w14:paraId="0000008C">
            <w:pPr>
              <w:spacing w:after="0" w:lineRule="auto"/>
              <w:jc w:val="both"/>
              <w:rPr>
                <w:sz w:val="22"/>
                <w:szCs w:val="22"/>
              </w:rPr>
            </w:pPr>
            <w:r w:rsidDel="00000000" w:rsidR="00000000" w:rsidRPr="00000000">
              <w:rPr>
                <w:sz w:val="22"/>
                <w:szCs w:val="22"/>
                <w:rtl w:val="0"/>
              </w:rPr>
              <w:t xml:space="preserve">2. Restaurarea dinamicii naturale a cursurilor</w:t>
            </w:r>
          </w:p>
          <w:p w:rsidR="00000000" w:rsidDel="00000000" w:rsidP="00000000" w:rsidRDefault="00000000" w:rsidRPr="00000000" w14:paraId="0000008D">
            <w:pPr>
              <w:spacing w:after="0" w:lineRule="auto"/>
              <w:jc w:val="both"/>
              <w:rPr>
                <w:sz w:val="22"/>
                <w:szCs w:val="22"/>
              </w:rPr>
            </w:pPr>
            <w:r w:rsidDel="00000000" w:rsidR="00000000" w:rsidRPr="00000000">
              <w:rPr>
                <w:sz w:val="22"/>
                <w:szCs w:val="22"/>
                <w:rtl w:val="0"/>
              </w:rPr>
              <w:t xml:space="preserve">de apă (variabilitate debite, mobilitate albie).</w:t>
            </w:r>
          </w:p>
          <w:p w:rsidR="00000000" w:rsidDel="00000000" w:rsidP="00000000" w:rsidRDefault="00000000" w:rsidRPr="00000000" w14:paraId="0000008E">
            <w:pPr>
              <w:spacing w:after="0" w:lineRule="auto"/>
              <w:jc w:val="both"/>
              <w:rPr>
                <w:sz w:val="22"/>
                <w:szCs w:val="22"/>
              </w:rPr>
            </w:pPr>
            <w:r w:rsidDel="00000000" w:rsidR="00000000" w:rsidRPr="00000000">
              <w:rPr>
                <w:sz w:val="22"/>
                <w:szCs w:val="22"/>
                <w:rtl w:val="0"/>
              </w:rPr>
              <w:t xml:space="preserve">3. Refacerea zonelor umede deconectate și a</w:t>
            </w:r>
          </w:p>
          <w:p w:rsidR="00000000" w:rsidDel="00000000" w:rsidP="00000000" w:rsidRDefault="00000000" w:rsidRPr="00000000" w14:paraId="0000008F">
            <w:pPr>
              <w:spacing w:after="0" w:lineRule="auto"/>
              <w:jc w:val="both"/>
              <w:rPr>
                <w:sz w:val="22"/>
                <w:szCs w:val="22"/>
              </w:rPr>
            </w:pPr>
            <w:r w:rsidDel="00000000" w:rsidR="00000000" w:rsidRPr="00000000">
              <w:rPr>
                <w:sz w:val="22"/>
                <w:szCs w:val="22"/>
                <w:rtl w:val="0"/>
              </w:rPr>
              <w:t xml:space="preserve">habitatelor asociate.</w:t>
            </w:r>
          </w:p>
          <w:p w:rsidR="00000000" w:rsidDel="00000000" w:rsidP="00000000" w:rsidRDefault="00000000" w:rsidRPr="00000000" w14:paraId="00000090">
            <w:pPr>
              <w:spacing w:after="0" w:lineRule="auto"/>
              <w:jc w:val="both"/>
              <w:rPr>
                <w:sz w:val="22"/>
                <w:szCs w:val="22"/>
              </w:rPr>
            </w:pPr>
            <w:r w:rsidDel="00000000" w:rsidR="00000000" w:rsidRPr="00000000">
              <w:rPr>
                <w:sz w:val="22"/>
                <w:szCs w:val="22"/>
                <w:rtl w:val="0"/>
              </w:rPr>
              <w:t xml:space="preserve">4. Controlul speciilor invazive acvatice și ripariene.</w:t>
            </w:r>
          </w:p>
          <w:p w:rsidR="00000000" w:rsidDel="00000000" w:rsidP="00000000" w:rsidRDefault="00000000" w:rsidRPr="00000000" w14:paraId="00000091">
            <w:pPr>
              <w:spacing w:after="0" w:lineRule="auto"/>
              <w:jc w:val="both"/>
              <w:rPr>
                <w:sz w:val="22"/>
                <w:szCs w:val="22"/>
              </w:rPr>
            </w:pPr>
            <w:r w:rsidDel="00000000" w:rsidR="00000000" w:rsidRPr="00000000">
              <w:rPr>
                <w:sz w:val="22"/>
                <w:szCs w:val="22"/>
                <w:rtl w:val="0"/>
              </w:rPr>
              <w:t xml:space="preserve">5. Reducerea poluării și a presiunilor difuze din bazinul hidrografic.</w:t>
            </w:r>
          </w:p>
          <w:p w:rsidR="00000000" w:rsidDel="00000000" w:rsidP="00000000" w:rsidRDefault="00000000" w:rsidRPr="00000000" w14:paraId="00000092">
            <w:pPr>
              <w:spacing w:after="0" w:lineRule="auto"/>
              <w:jc w:val="both"/>
              <w:rPr>
                <w:sz w:val="22"/>
                <w:szCs w:val="22"/>
              </w:rPr>
            </w:pPr>
            <w:r w:rsidDel="00000000" w:rsidR="00000000" w:rsidRPr="00000000">
              <w:rPr>
                <w:sz w:val="22"/>
                <w:szCs w:val="22"/>
                <w:rtl w:val="0"/>
              </w:rPr>
              <w:t xml:space="preserve">6. Monitorizarea efectelor restaurării.</w:t>
            </w:r>
          </w:p>
          <w:p w:rsidR="00000000" w:rsidDel="00000000" w:rsidP="00000000" w:rsidRDefault="00000000" w:rsidRPr="00000000" w14:paraId="00000093">
            <w:pPr>
              <w:spacing w:after="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4">
            <w:pPr>
              <w:spacing w:after="0" w:lineRule="auto"/>
              <w:jc w:val="both"/>
              <w:rPr>
                <w:sz w:val="22"/>
                <w:szCs w:val="22"/>
              </w:rPr>
            </w:pPr>
            <w:r w:rsidDel="00000000" w:rsidR="00000000" w:rsidRPr="00000000">
              <w:rPr>
                <w:sz w:val="22"/>
                <w:szCs w:val="22"/>
                <w:rtl w:val="0"/>
              </w:rPr>
              <w:t xml:space="preserve">1. Barierele transversale (praguri, baraje fără</w:t>
            </w:r>
          </w:p>
          <w:p w:rsidR="00000000" w:rsidDel="00000000" w:rsidP="00000000" w:rsidRDefault="00000000" w:rsidRPr="00000000" w14:paraId="00000095">
            <w:pPr>
              <w:spacing w:after="0" w:lineRule="auto"/>
              <w:jc w:val="both"/>
              <w:rPr>
                <w:sz w:val="22"/>
                <w:szCs w:val="22"/>
              </w:rPr>
            </w:pPr>
            <w:r w:rsidDel="00000000" w:rsidR="00000000" w:rsidRPr="00000000">
              <w:rPr>
                <w:sz w:val="22"/>
                <w:szCs w:val="22"/>
                <w:rtl w:val="0"/>
              </w:rPr>
              <w:t xml:space="preserve">funcție) se elimină sau se echipează cu treceri pentru pești, pentru refacerea conectivității longitudinale.</w:t>
            </w:r>
          </w:p>
          <w:p w:rsidR="00000000" w:rsidDel="00000000" w:rsidP="00000000" w:rsidRDefault="00000000" w:rsidRPr="00000000" w14:paraId="00000096">
            <w:pPr>
              <w:spacing w:after="0" w:lineRule="auto"/>
              <w:jc w:val="both"/>
              <w:rPr>
                <w:sz w:val="22"/>
                <w:szCs w:val="22"/>
              </w:rPr>
            </w:pPr>
            <w:r w:rsidDel="00000000" w:rsidR="00000000" w:rsidRPr="00000000">
              <w:rPr>
                <w:sz w:val="22"/>
                <w:szCs w:val="22"/>
                <w:rtl w:val="0"/>
              </w:rPr>
              <w:t xml:space="preserve">2. Conectivitatea laterală cu lunca se reface prin breșe controlate în diguri, refacerea zonelor inundabile și a brațelor moarte deconectate.</w:t>
            </w:r>
          </w:p>
          <w:p w:rsidR="00000000" w:rsidDel="00000000" w:rsidP="00000000" w:rsidRDefault="00000000" w:rsidRPr="00000000" w14:paraId="00000097">
            <w:pPr>
              <w:spacing w:after="0" w:lineRule="auto"/>
              <w:jc w:val="both"/>
              <w:rPr>
                <w:sz w:val="22"/>
                <w:szCs w:val="22"/>
              </w:rPr>
            </w:pPr>
            <w:r w:rsidDel="00000000" w:rsidR="00000000" w:rsidRPr="00000000">
              <w:rPr>
                <w:sz w:val="22"/>
                <w:szCs w:val="22"/>
                <w:rtl w:val="0"/>
              </w:rPr>
              <w:t xml:space="preserve">3. Speciile invazive acvatice și semiacvatice  se identifică și se controlează prin metode mecanice și biologice cu impact redus.</w:t>
            </w:r>
          </w:p>
          <w:p w:rsidR="00000000" w:rsidDel="00000000" w:rsidP="00000000" w:rsidRDefault="00000000" w:rsidRPr="00000000" w14:paraId="00000098">
            <w:pPr>
              <w:spacing w:after="0" w:lineRule="auto"/>
              <w:jc w:val="both"/>
              <w:rPr>
                <w:sz w:val="22"/>
                <w:szCs w:val="22"/>
              </w:rPr>
            </w:pPr>
            <w:r w:rsidDel="00000000" w:rsidR="00000000" w:rsidRPr="00000000">
              <w:rPr>
                <w:sz w:val="22"/>
                <w:szCs w:val="22"/>
                <w:rtl w:val="0"/>
              </w:rPr>
              <w:t xml:space="preserve">4. Sursele de poluare punctuale se elimină sau se reduc; pentru poluarea difuză se promovează benzi tampon ripariene.</w:t>
            </w:r>
          </w:p>
          <w:p w:rsidR="00000000" w:rsidDel="00000000" w:rsidP="00000000" w:rsidRDefault="00000000" w:rsidRPr="00000000" w14:paraId="00000099">
            <w:pPr>
              <w:spacing w:after="0" w:lineRule="auto"/>
              <w:jc w:val="both"/>
              <w:rPr>
                <w:sz w:val="22"/>
                <w:szCs w:val="22"/>
              </w:rPr>
            </w:pPr>
            <w:r w:rsidDel="00000000" w:rsidR="00000000" w:rsidRPr="00000000">
              <w:rPr>
                <w:sz w:val="22"/>
                <w:szCs w:val="22"/>
                <w:rtl w:val="0"/>
              </w:rPr>
              <w:t xml:space="preserve">5. Exploatările de materiale din albie se interzic în interiorul ZPB; depozitările și deșeurile se elimină.</w:t>
            </w:r>
          </w:p>
          <w:p w:rsidR="00000000" w:rsidDel="00000000" w:rsidP="00000000" w:rsidRDefault="00000000" w:rsidRPr="00000000" w14:paraId="0000009A">
            <w:pPr>
              <w:spacing w:after="0" w:lineRule="auto"/>
              <w:jc w:val="both"/>
              <w:rPr>
                <w:sz w:val="22"/>
                <w:szCs w:val="22"/>
              </w:rPr>
            </w:pPr>
            <w:r w:rsidDel="00000000" w:rsidR="00000000" w:rsidRPr="00000000">
              <w:rPr>
                <w:sz w:val="22"/>
                <w:szCs w:val="22"/>
                <w:rtl w:val="0"/>
              </w:rPr>
              <w:t xml:space="preserve">6. Se monitorizează parametrii hidrologici, calitatea apei, conectivitatea, speciile indicator și efectele restaurării, ajustând adaptiv măsurile.</w:t>
            </w:r>
          </w:p>
          <w:p w:rsidR="00000000" w:rsidDel="00000000" w:rsidP="00000000" w:rsidRDefault="00000000" w:rsidRPr="00000000" w14:paraId="0000009A">
            <w:pPr>
              <w:spacing w:after="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B">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C">
            <w:pPr>
              <w:rPr/>
            </w:pPr>
            <w:r w:rsidDel="00000000" w:rsidR="00000000" w:rsidRPr="00000000">
              <w:rPr>
                <w:sz w:val="22"/>
                <w:szCs w:val="22"/>
                <w:rtl w:val="0"/>
              </w:rPr>
              <w:t xml:space="preserve">Necunoscută</w:t>
            </w:r>
            <w:r w:rsidDel="00000000" w:rsidR="00000000" w:rsidRPr="00000000">
              <w:rPr>
                <w:rtl w:val="0"/>
              </w:rPr>
            </w:r>
          </w:p>
        </w:tc>
      </w:tr>
    </w:tbl>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9F">
      <w:pPr>
        <w:pBdr>
          <w:top w:color="000000" w:space="0" w:sz="6" w:val="single"/>
          <w:left w:color="000000" w:space="0" w:sz="6" w:val="single"/>
          <w:bottom w:color="000000" w:space="0" w:sz="6" w:val="single"/>
          <w:right w:color="000000" w:space="0" w:sz="6" w:val="single"/>
        </w:pBdr>
        <w:spacing w:after="0" w:line="259" w:lineRule="auto"/>
        <w:jc w:val="both"/>
        <w:rPr>
          <w:sz w:val="22"/>
          <w:szCs w:val="22"/>
        </w:rPr>
      </w:pPr>
      <w:r w:rsidDel="00000000" w:rsidR="00000000" w:rsidRPr="00000000">
        <w:rPr>
          <w:sz w:val="22"/>
          <w:szCs w:val="22"/>
          <w:rtl w:val="0"/>
        </w:rPr>
        <w:t xml:space="preserve">- N. Donita, A. Popescu, Pauca - Comanescu M., Mihailescu S., 2005 - Habitatele din Romania” – Biris I., Editura Tehnica Silvica, București;</w:t>
      </w:r>
    </w:p>
    <w:p w:rsidR="00000000" w:rsidDel="00000000" w:rsidP="00000000" w:rsidRDefault="00000000" w:rsidRPr="00000000" w14:paraId="000000A0">
      <w:pPr>
        <w:pBdr>
          <w:top w:color="000000" w:space="0" w:sz="6" w:val="single"/>
          <w:left w:color="000000" w:space="0" w:sz="6" w:val="single"/>
          <w:bottom w:color="000000" w:space="0" w:sz="6" w:val="single"/>
          <w:right w:color="000000" w:space="0" w:sz="6" w:val="single"/>
        </w:pBdr>
        <w:spacing w:after="0" w:line="259" w:lineRule="auto"/>
        <w:jc w:val="both"/>
        <w:rPr>
          <w:sz w:val="22"/>
          <w:szCs w:val="22"/>
        </w:rPr>
      </w:pPr>
      <w:r w:rsidDel="00000000" w:rsidR="00000000" w:rsidRPr="00000000">
        <w:rPr>
          <w:sz w:val="22"/>
          <w:szCs w:val="22"/>
          <w:rtl w:val="0"/>
        </w:rPr>
        <w:t xml:space="preserve">- Gafta D. &amp; Mountford J.O. 2008 - “Manual de interpretare a habitatelor Natura 2000 din Romania”, Ed. RISOPRINT, editor M.M.D.D;</w:t>
      </w:r>
    </w:p>
    <w:p w:rsidR="00000000" w:rsidDel="00000000" w:rsidP="00000000" w:rsidRDefault="00000000" w:rsidRPr="00000000" w14:paraId="000000A1">
      <w:pPr>
        <w:pBdr>
          <w:top w:color="000000" w:space="0" w:sz="6" w:val="single"/>
          <w:left w:color="000000" w:space="0" w:sz="6" w:val="single"/>
          <w:bottom w:color="000000" w:space="0" w:sz="6" w:val="single"/>
          <w:right w:color="000000" w:space="0" w:sz="6" w:val="single"/>
        </w:pBdr>
        <w:spacing w:after="0" w:line="259" w:lineRule="auto"/>
        <w:jc w:val="both"/>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jc w:val="center"/>
        <w:rPr>
          <w:b w:val="1"/>
          <w:bCs w:val="1"/>
          <w:sz w:val="22"/>
          <w:szCs w:val="22"/>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p>
    <w:p w:rsidR="00000000" w:rsidDel="00000000" w:rsidP="00000000" w:rsidRDefault="00000000" w:rsidRPr="00000000" w14:paraId="000000A4">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A5">
      <w:pPr>
        <w:pBdr>
          <w:top w:color="000000" w:space="0" w:sz="6" w:val="single"/>
          <w:left w:color="000000" w:space="0" w:sz="6" w:val="single"/>
          <w:bottom w:color="000000" w:space="0" w:sz="6" w:val="single"/>
          <w:right w:color="000000" w:space="0" w:sz="6" w:val="single"/>
        </w:pBdr>
        <w:spacing w:after="0" w:line="259" w:lineRule="auto"/>
        <w:jc w:val="both"/>
        <w:rPr>
          <w:sz w:val="22"/>
          <w:szCs w:val="22"/>
        </w:rPr>
      </w:pPr>
      <w:r w:rsidDel="00000000" w:rsidR="00000000" w:rsidRPr="00000000">
        <w:rPr>
          <w:sz w:val="22"/>
          <w:szCs w:val="22"/>
          <w:rtl w:val="0"/>
        </w:rPr>
        <w:t xml:space="preserve">Consultări publice realizate: 21 mai 2025 – Buzău.</w:t>
      </w:r>
    </w:p>
    <w:p w:rsidR="00000000" w:rsidDel="00000000" w:rsidP="00000000" w:rsidRDefault="00000000" w:rsidRPr="00000000" w14:paraId="000000A6">
      <w:pPr>
        <w:pBdr>
          <w:top w:color="000000" w:space="0" w:sz="6" w:val="single"/>
          <w:left w:color="000000" w:space="0" w:sz="6" w:val="single"/>
          <w:bottom w:color="000000" w:space="0" w:sz="6" w:val="single"/>
          <w:right w:color="000000" w:space="0" w:sz="6" w:val="single"/>
        </w:pBdr>
        <w:spacing w:after="0" w:line="259" w:lineRule="auto"/>
        <w:jc w:val="both"/>
        <w:rPr>
          <w:sz w:val="22"/>
          <w:szCs w:val="22"/>
        </w:rPr>
      </w:pPr>
      <w:r w:rsidDel="00000000" w:rsidR="00000000" w:rsidRPr="00000000">
        <w:rPr>
          <w:sz w:val="22"/>
          <w:szCs w:val="22"/>
          <w:rtl w:val="0"/>
        </w:rPr>
        <w:t xml:space="preserve">Ulterior, în cadrul procesului de consultare extins la nivel național, au avut loc consultări suplimentară online în data de </w:t>
      </w:r>
      <w:r w:rsidDel="00000000" w:rsidR="00000000" w:rsidRPr="00000000">
        <w:rPr>
          <w:b w:val="1"/>
          <w:bCs w:val="1"/>
          <w:sz w:val="22"/>
          <w:szCs w:val="22"/>
          <w:rtl w:val="0"/>
        </w:rPr>
        <w:t xml:space="preserve">19 decembrie 2025 </w:t>
      </w:r>
      <w:r w:rsidDel="00000000" w:rsidR="00000000" w:rsidRPr="00000000">
        <w:rPr>
          <w:sz w:val="22"/>
          <w:szCs w:val="22"/>
          <w:rtl w:val="0"/>
        </w:rPr>
        <w:t xml:space="preserve">cu participarea factorilor interesați relevanți din județul Buzău.</w:t>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A9">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AA">
      <w:pPr>
        <w:spacing w:after="0" w:lineRule="auto"/>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wRyxTWqC6xr+YSpF6ZOBmIm42g==">CgMxLjA4AHIhMWdzdDI5aXJEUG5qdV9XaHFoek9QTy15NjR3VHV6Y3Fw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